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附件1</w:t>
      </w:r>
    </w:p>
    <w:p>
      <w:pPr>
        <w:jc w:val="center"/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淄博市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货运枢纽试点企业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、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公共配送中心试点企业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val="en-US" w:eastAsia="zh-CN"/>
        </w:rPr>
        <w:t>考核指标明细表</w:t>
      </w:r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100"/>
        <w:gridCol w:w="1701"/>
        <w:gridCol w:w="905"/>
        <w:gridCol w:w="9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指标分类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指标内容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分值</w:t>
            </w:r>
          </w:p>
        </w:tc>
        <w:tc>
          <w:tcPr>
            <w:tcW w:w="95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计分标准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设施设备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（15分）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仓储面积</w:t>
            </w:r>
          </w:p>
        </w:tc>
        <w:tc>
          <w:tcPr>
            <w:tcW w:w="9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9524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（1）该指标对</w:t>
            </w:r>
            <w:r>
              <w:rPr>
                <w:rFonts w:hint="eastAsia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货运枢纽试点企业</w:t>
            </w: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的考核要求：仓储面积不少于2万平方米得5分。</w:t>
            </w:r>
          </w:p>
          <w:p>
            <w:pP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（2）该指标对</w:t>
            </w:r>
            <w:r>
              <w:rPr>
                <w:rFonts w:hint="eastAsia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公共配送中心试点企业</w:t>
            </w: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的考核要求：仓储面积不少于8000平方米得5分。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充电桩设置</w:t>
            </w:r>
          </w:p>
        </w:tc>
        <w:tc>
          <w:tcPr>
            <w:tcW w:w="9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9524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（1）该指标对</w:t>
            </w:r>
            <w:r>
              <w:rPr>
                <w:rFonts w:hint="eastAsia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货运枢纽试点企业</w:t>
            </w: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的考核要求：建有投入运营的可用于新能源配送车辆（包括新能源城市物流配送车辆及新能源冷藏保温配送车辆</w:t>
            </w:r>
            <w:r>
              <w:rPr>
                <w:rFonts w:hint="eastAsia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，下同</w:t>
            </w: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）的充电桩，每根得0.5分，最高得5分。</w:t>
            </w:r>
          </w:p>
          <w:p>
            <w:pP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（2）该指标对</w:t>
            </w:r>
            <w:r>
              <w:rPr>
                <w:rFonts w:hint="eastAsia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公共配送中心试点企业</w:t>
            </w: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的考核要求：建有投入运营的可用于新能源配送车辆的充电桩，每根得1分，最高得5分。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停车位设置</w:t>
            </w:r>
          </w:p>
        </w:tc>
        <w:tc>
          <w:tcPr>
            <w:tcW w:w="9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52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设置新能源配送车辆的专用停车位得2分。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基础设备</w:t>
            </w:r>
          </w:p>
        </w:tc>
        <w:tc>
          <w:tcPr>
            <w:tcW w:w="9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952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有与其经营规模相适应的安全、消防、装卸、通讯、计量等设备得3分。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先进组织模式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（40分）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组织功能</w:t>
            </w:r>
          </w:p>
        </w:tc>
        <w:tc>
          <w:tcPr>
            <w:tcW w:w="90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9524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（1）该指标对</w:t>
            </w:r>
            <w:r>
              <w:rPr>
                <w:rFonts w:hint="eastAsia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货运枢纽试点企业</w:t>
            </w: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的考核要求如下：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具备仓储、分拨、配载、配送、信息服务、中转换装等功能，每项得4.5分；实现干支衔接得4分；实现干线甩挂运输、多式联运、支线集散分拨等功能，每项得3分。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（2）该指标对</w:t>
            </w:r>
            <w:r>
              <w:rPr>
                <w:rFonts w:hint="eastAsia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公共配送中心试点企业</w:t>
            </w: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的考核要求如下：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①实现统一存储、集中分拣、共同配送等功能，每项得10分。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②</w:t>
            </w:r>
            <w:r>
              <w:rPr>
                <w:rFonts w:hint="default" w:ascii="Times New Roman" w:hAnsi="Times New Roman" w:cs="Times New Roman" w:eastAsiaTheme="minorEastAsia"/>
                <w:color w:val="auto"/>
                <w:highlight w:val="none"/>
                <w:vertAlign w:val="baseline"/>
                <w:lang w:val="en-US" w:eastAsia="zh-CN"/>
              </w:rPr>
              <w:t>采用先进组织模式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highlight w:val="none"/>
                <w:vertAlign w:val="baseline"/>
                <w:lang w:val="en-US" w:eastAsia="zh-CN"/>
              </w:rPr>
              <w:t>共同配送/集中配送/夜间配送等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vertAlign w:val="baseline"/>
                <w:lang w:val="en-US" w:eastAsia="zh-CN"/>
              </w:rPr>
              <w:t>）</w:t>
            </w:r>
            <w:r>
              <w:rPr>
                <w:rFonts w:hint="default" w:ascii="Times New Roman" w:hAnsi="Times New Roman" w:cs="Times New Roman" w:eastAsiaTheme="minorEastAsia"/>
                <w:color w:val="auto"/>
                <w:highlight w:val="none"/>
                <w:vertAlign w:val="baseline"/>
                <w:lang w:val="en-US" w:eastAsia="zh-CN"/>
              </w:rPr>
              <w:t>的货运量占总货运量50%得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vertAlign w:val="baseli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 w:eastAsiaTheme="minorEastAsia"/>
                <w:color w:val="auto"/>
                <w:highlight w:val="none"/>
                <w:vertAlign w:val="baseline"/>
                <w:lang w:val="en-US" w:eastAsia="zh-CN"/>
              </w:rPr>
              <w:t>分，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vertAlign w:val="baseline"/>
                <w:lang w:val="en-US" w:eastAsia="zh-CN"/>
              </w:rPr>
              <w:t>在</w:t>
            </w:r>
            <w:r>
              <w:rPr>
                <w:rFonts w:hint="default" w:ascii="Times New Roman" w:hAnsi="Times New Roman" w:cs="Times New Roman" w:eastAsiaTheme="minorEastAsia"/>
                <w:color w:val="auto"/>
                <w:highlight w:val="none"/>
                <w:vertAlign w:val="baseline"/>
                <w:lang w:val="en-US" w:eastAsia="zh-CN"/>
              </w:rPr>
              <w:t>50%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vertAlign w:val="baseline"/>
                <w:lang w:val="en-US" w:eastAsia="zh-CN"/>
              </w:rPr>
              <w:t>的基础上</w:t>
            </w:r>
            <w:r>
              <w:rPr>
                <w:rFonts w:hint="default" w:ascii="Times New Roman" w:hAnsi="Times New Roman" w:cs="Times New Roman" w:eastAsiaTheme="minorEastAsia"/>
                <w:color w:val="auto"/>
                <w:highlight w:val="none"/>
                <w:vertAlign w:val="baseline"/>
                <w:lang w:val="en-US" w:eastAsia="zh-CN"/>
              </w:rPr>
              <w:t>每增加10%得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vertAlign w:val="baseline"/>
                <w:lang w:val="en-US" w:eastAsia="zh-CN"/>
              </w:rPr>
              <w:t>0.4</w:t>
            </w:r>
            <w:r>
              <w:rPr>
                <w:rFonts w:hint="default" w:ascii="Times New Roman" w:hAnsi="Times New Roman" w:cs="Times New Roman" w:eastAsiaTheme="minorEastAsia"/>
                <w:color w:val="auto"/>
                <w:highlight w:val="none"/>
                <w:vertAlign w:val="baseline"/>
                <w:lang w:val="en-US" w:eastAsia="zh-CN"/>
              </w:rPr>
              <w:t>分，最高得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 w:eastAsiaTheme="minorEastAsia"/>
                <w:color w:val="auto"/>
                <w:highlight w:val="none"/>
                <w:vertAlign w:val="baseline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信息化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建设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（20分）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企业信息化水平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9524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（1）该指标对</w:t>
            </w:r>
            <w:r>
              <w:rPr>
                <w:rFonts w:hint="eastAsia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货运枢纽试点企业</w:t>
            </w: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的考核要求如下：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实现对园区场地、仓储的信息化管理，每项得4分；</w:t>
            </w: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</w:rPr>
              <w:t>具备对所属配送车</w:t>
            </w: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辆（含租赁车辆）信息化动态监管能力得2分，有配送业务的企业具备运单信息化管理得2分。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2）该指标对</w:t>
            </w:r>
            <w:r>
              <w:rPr>
                <w:rFonts w:hint="eastAsia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公共配送中心试点企业</w:t>
            </w: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的考核要求如下：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实现对园区场地、仓储的信息化管理，每项得2分；</w:t>
            </w: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</w:rPr>
              <w:t>具备对所属配送车</w:t>
            </w: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辆（含租赁车辆）信息化动态监管能力得4分，具备运单信息化管理得4分。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信息对接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9524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宋体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</w:rPr>
              <w:t>企业</w:t>
            </w:r>
            <w:r>
              <w:rPr>
                <w:rFonts w:hint="eastAsia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新能源配送车辆</w:t>
            </w: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（含租赁车辆）</w:t>
            </w: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</w:rPr>
              <w:t>数据接入</w:t>
            </w: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淄博市</w:t>
            </w: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</w:rPr>
              <w:t>城市绿色货运配送公共信息服务平台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以下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简称市级平台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highlight w:val="none"/>
                <w:vertAlign w:val="baseli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</w:rPr>
              <w:t>，得</w:t>
            </w: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</w:rPr>
              <w:t>分。未全部接入的，按照接入的比例进行折算</w:t>
            </w: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得分=接入平台</w:t>
            </w:r>
            <w:r>
              <w:rPr>
                <w:rFonts w:hint="eastAsia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新能源配送车辆</w:t>
            </w: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数/</w:t>
            </w:r>
            <w:r>
              <w:rPr>
                <w:rFonts w:hint="eastAsia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新能源配送车辆</w:t>
            </w: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总数×4分</w:t>
            </w: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</w:rPr>
              <w:t>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Times New Roman" w:hAnsi="Times New Roman" w:eastAsia="宋体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</w:rPr>
              <w:t>企业</w:t>
            </w: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运单</w:t>
            </w: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</w:rPr>
              <w:t>数据接入</w:t>
            </w:r>
            <w:r>
              <w:rPr>
                <w:rFonts w:hint="eastAsia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市级平台</w:t>
            </w: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</w:rPr>
              <w:t>，得</w:t>
            </w: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运营管理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管理制度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952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具备完善的企业管理制度，有车辆管理制度得1分，有站场管理制度得1分，有人员管理制度得1分。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便利停靠措施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52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制定便利优惠停车措施得2分，如新能源配送车辆在园区内免费停车政策。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企业评估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952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满足《物流企业分类与评估指标》（GB/T 19680-2013）中对AAA级（含）以上的物流企业标准要求，申报为国家AAA级物流企业得3分；申报为国家AAAA级物流企业得4分；申报为国家AAAAA级物流企业得5分。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服务质量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（7分）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服务管理制度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1.5</w:t>
            </w:r>
          </w:p>
        </w:tc>
        <w:tc>
          <w:tcPr>
            <w:tcW w:w="9524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highlight w:val="none"/>
              </w:rPr>
              <w:t>有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highlight w:val="none"/>
                <w:lang w:val="en-US" w:eastAsia="zh-CN"/>
              </w:rPr>
              <w:t>相应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highlight w:val="none"/>
              </w:rPr>
              <w:t>的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pacing w:val="0"/>
                <w:kern w:val="2"/>
                <w:sz w:val="21"/>
                <w:szCs w:val="24"/>
                <w:highlight w:val="none"/>
                <w:lang w:val="en-US" w:eastAsia="zh-CN" w:bidi="ar"/>
              </w:rPr>
              <w:t>服务质量管理制度得1.5分。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合规经营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524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企业发生经营违法行为1次扣1分，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highlight w:val="none"/>
                <w:vertAlign w:val="baseline"/>
                <w:lang w:val="en-US" w:eastAsia="zh-CN"/>
              </w:rPr>
              <w:t>得分=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vertAlign w:val="baseline"/>
                <w:lang w:val="en-US" w:eastAsia="zh-CN"/>
              </w:rPr>
              <w:t>2分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highlight w:val="none"/>
                <w:vertAlign w:val="baseline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企业发生经营违法行为次数</w:t>
            </w:r>
            <w:r>
              <w:rPr>
                <w:rFonts w:hint="default" w:ascii="Times New Roman" w:hAnsi="Times New Roman" w:cs="Times New Roman" w:eastAsiaTheme="minorEastAsia"/>
                <w:color w:val="auto"/>
                <w:highlight w:val="none"/>
                <w:vertAlign w:val="baseline"/>
                <w:lang w:val="en-US" w:eastAsia="zh-CN"/>
              </w:rPr>
              <w:t>×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vertAlign w:val="baseline"/>
                <w:lang w:val="en-US" w:eastAsia="zh-CN"/>
              </w:rPr>
              <w:t>1分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highlight w:val="none"/>
                <w:vertAlign w:val="baseline"/>
                <w:lang w:val="en-US" w:eastAsia="zh-CN"/>
              </w:rPr>
              <w:t>，扣完为止。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投诉处理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1.5</w:t>
            </w:r>
          </w:p>
        </w:tc>
        <w:tc>
          <w:tcPr>
            <w:tcW w:w="9524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（1）设立客户服务岗位、部门并向社会公布投诉电话得0.5分。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（2）对投诉情况给予及时处理得0.5分。</w:t>
            </w:r>
          </w:p>
          <w:p>
            <w:pPr>
              <w:jc w:val="left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（3）对投诉人进行有效回访并认真记录情况得0.5分。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货损货差率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524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（1）考核评价内容：因企业原因导致配送商品损坏和差错的比率=损坏和差错的商品数量（件）/应交付的商品总量（件）×100%。</w:t>
            </w:r>
          </w:p>
          <w:p>
            <w:pPr>
              <w:rPr>
                <w:rFonts w:hint="default" w:ascii="Times New Roman" w:hAnsi="Times New Roman" w:eastAsia="宋体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（2）计分方法：得分=（1-货损货差率）×1分。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场站环境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5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场站卫生清洁，各项服务标志醒目得1分。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安全生产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（8分）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安全教育培训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9524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highlight w:val="none"/>
                <w:vertAlign w:val="baseline"/>
                <w:lang w:val="en-US" w:eastAsia="zh-CN"/>
              </w:rPr>
              <w:t>考核期内对员工进行1次安全教育或培训得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color w:val="auto"/>
                <w:highlight w:val="none"/>
                <w:vertAlign w:val="baseline"/>
                <w:lang w:val="en-US" w:eastAsia="zh-CN"/>
              </w:rPr>
              <w:t>分，最高得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color w:val="auto"/>
                <w:highlight w:val="none"/>
                <w:vertAlign w:val="baseline"/>
                <w:lang w:val="en-US" w:eastAsia="zh-CN"/>
              </w:rPr>
              <w:t>分。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vertAlign w:val="baseline"/>
                <w:lang w:val="en-US" w:eastAsia="zh-CN"/>
              </w:rPr>
              <w:t>（2）</w:t>
            </w:r>
            <w:r>
              <w:rPr>
                <w:rFonts w:hint="default" w:ascii="Times New Roman" w:hAnsi="Times New Roman" w:cs="Times New Roman" w:eastAsiaTheme="minorEastAsia"/>
                <w:color w:val="auto"/>
                <w:highlight w:val="none"/>
                <w:vertAlign w:val="baseline"/>
                <w:lang w:val="en-US" w:eastAsia="zh-CN"/>
              </w:rPr>
              <w:t>具备完整安全生产教育和培训档案得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color w:val="auto"/>
                <w:highlight w:val="none"/>
                <w:vertAlign w:val="baseline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应急预案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524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具有内容完善的突发公共事件的应急预案得2分。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安全责任事故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95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企业发生重大及以上责任安全事故1次扣1分，得分=3分-企业发生重大及以上责任安全事故次数</w:t>
            </w:r>
            <w:r>
              <w:rPr>
                <w:rFonts w:hint="default" w:ascii="Times New Roman" w:hAnsi="Times New Roman" w:cs="Times New Roman" w:eastAsiaTheme="minorEastAsia"/>
                <w:color w:val="auto"/>
                <w:highlight w:val="none"/>
                <w:vertAlign w:val="baseline"/>
                <w:lang w:val="en-US" w:eastAsia="zh-CN"/>
              </w:rPr>
              <w:t>×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vertAlign w:val="baseline"/>
                <w:lang w:val="en-US" w:eastAsia="zh-CN"/>
              </w:rPr>
              <w:t>1分</w:t>
            </w:r>
            <w:r>
              <w:rPr>
                <w:rFonts w:hint="default" w:ascii="Times New Roman" w:hAnsi="Times New Roman" w:cs="Times New Roman" w:eastAsiaTheme="minorEastAsia"/>
                <w:color w:val="auto"/>
                <w:highlight w:val="none"/>
                <w:vertAlign w:val="baseline"/>
                <w:lang w:val="en-US" w:eastAsia="zh-CN"/>
              </w:rPr>
              <w:t>，扣完为止。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10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其他加分项（10分）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表彰及荣誉称号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524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考核期内获得市级及以上表彰或荣誉称号，每次计1分，最高得2分。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媒体报道情况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524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考核期内获得市级以上新闻媒体正面报道，每次计1分，最高得2分。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指令性运输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524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考核期内完成指令性运输以及抢险救灾等任务情况，得1分。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11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党建引领</w:t>
            </w:r>
          </w:p>
        </w:tc>
        <w:tc>
          <w:tcPr>
            <w:tcW w:w="9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952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highlight w:val="none"/>
                <w:vertAlign w:val="baseline"/>
                <w:lang w:val="en-US" w:eastAsia="zh-CN"/>
              </w:rPr>
              <w:t>有企业或者行业党群服务阵地得5分。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highlight w:val="none"/>
          <w:vertAlign w:val="baseli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highlight w:val="none"/>
          <w:vertAlign w:val="baseline"/>
          <w:lang w:val="en-US" w:eastAsia="zh-CN" w:bidi="ar-SA"/>
        </w:rPr>
        <w:t>备注：1.根据淄博市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vertAlign w:val="baseline"/>
          <w:lang w:val="en-US" w:eastAsia="zh-CN" w:bidi="ar-SA"/>
        </w:rPr>
        <w:t>货运枢纽试点企业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highlight w:val="none"/>
          <w:vertAlign w:val="baseline"/>
          <w:lang w:val="en-US" w:eastAsia="zh-CN" w:bidi="ar-SA"/>
        </w:rPr>
        <w:t>、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vertAlign w:val="baseline"/>
          <w:lang w:val="en-US" w:eastAsia="zh-CN" w:bidi="ar-SA"/>
        </w:rPr>
        <w:t>公共配送中心试点企业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highlight w:val="none"/>
          <w:vertAlign w:val="baseline"/>
          <w:lang w:val="en-US" w:eastAsia="zh-CN" w:bidi="ar-SA"/>
        </w:rPr>
        <w:t>具体业务内容进行考核计分。</w:t>
      </w:r>
    </w:p>
    <w:p>
      <w:pPr>
        <w:pStyle w:val="2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30" w:firstLineChars="3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spacing w:val="0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highlight w:val="none"/>
          <w:vertAlign w:val="baseline"/>
          <w:lang w:val="en-US" w:eastAsia="zh-CN" w:bidi="ar-SA"/>
        </w:rPr>
        <w:t>2.若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vertAlign w:val="baseline"/>
          <w:lang w:val="en-US" w:eastAsia="zh-CN" w:bidi="ar-SA"/>
        </w:rPr>
        <w:t>货运枢纽试点企业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highlight w:val="none"/>
          <w:vertAlign w:val="baseline"/>
          <w:lang w:val="en-US" w:eastAsia="zh-CN" w:bidi="ar-SA"/>
        </w:rPr>
        <w:t>无配送业务，则针对第6条考核项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vertAlign w:val="baseline"/>
          <w:lang w:val="en-US" w:eastAsia="zh-CN" w:bidi="ar-SA"/>
        </w:rPr>
        <w:t>“</w:t>
      </w:r>
      <w:r>
        <w:rPr>
          <w:rFonts w:hint="default" w:ascii="Times New Roman" w:hAnsi="Times New Roman" w:eastAsia="宋体" w:cs="Times New Roman"/>
          <w:kern w:val="2"/>
          <w:sz w:val="21"/>
          <w:highlight w:val="none"/>
          <w:vertAlign w:val="baseline"/>
          <w:lang w:val="en-US" w:eastAsia="zh-CN" w:bidi="ar-SA"/>
        </w:rPr>
        <w:t>企业信息化水平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vertAlign w:val="baseline"/>
          <w:lang w:val="en-US" w:eastAsia="zh-CN" w:bidi="ar-SA"/>
        </w:rPr>
        <w:t>”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highlight w:val="none"/>
          <w:vertAlign w:val="baseline"/>
          <w:lang w:val="en-US" w:eastAsia="zh-CN" w:bidi="ar-SA"/>
        </w:rPr>
        <w:t>中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vertAlign w:val="baseline"/>
          <w:lang w:val="en-US" w:eastAsia="zh-CN" w:bidi="ar-SA"/>
        </w:rPr>
        <w:t>“</w:t>
      </w:r>
      <w:r>
        <w:rPr>
          <w:rFonts w:hint="default" w:ascii="Times New Roman" w:hAnsi="Times New Roman" w:eastAsia="宋体" w:cs="Times New Roman"/>
          <w:kern w:val="2"/>
          <w:sz w:val="21"/>
          <w:highlight w:val="none"/>
          <w:vertAlign w:val="baseline"/>
          <w:lang w:bidi="ar-SA"/>
        </w:rPr>
        <w:t>具备对所属配送车</w:t>
      </w:r>
      <w:r>
        <w:rPr>
          <w:rFonts w:hint="default" w:ascii="Times New Roman" w:hAnsi="Times New Roman" w:eastAsia="宋体" w:cs="Times New Roman"/>
          <w:kern w:val="2"/>
          <w:sz w:val="21"/>
          <w:highlight w:val="none"/>
          <w:vertAlign w:val="baseline"/>
          <w:lang w:val="en-US" w:eastAsia="zh-CN" w:bidi="ar-SA"/>
        </w:rPr>
        <w:t>辆（含租赁车辆）信息化动态监控能力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vertAlign w:val="baseline"/>
          <w:lang w:val="en-US" w:eastAsia="zh-CN" w:bidi="ar-SA"/>
        </w:rPr>
        <w:t>”</w:t>
      </w:r>
      <w:r>
        <w:rPr>
          <w:rFonts w:hint="default" w:ascii="Times New Roman" w:hAnsi="Times New Roman" w:eastAsia="宋体" w:cs="Times New Roman"/>
          <w:kern w:val="2"/>
          <w:sz w:val="21"/>
          <w:highlight w:val="none"/>
          <w:vertAlign w:val="baseline"/>
          <w:lang w:val="en-US" w:eastAsia="zh-CN" w:bidi="ar-SA"/>
        </w:rPr>
        <w:t>及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  <w:vertAlign w:val="baseline"/>
          <w:lang w:val="en-US" w:eastAsia="zh-CN" w:bidi="ar-SA"/>
        </w:rPr>
        <w:t>“</w:t>
      </w:r>
      <w:r>
        <w:rPr>
          <w:rFonts w:hint="default" w:ascii="Times New Roman" w:hAnsi="Times New Roman" w:eastAsia="宋体" w:cs="Times New Roman"/>
          <w:kern w:val="2"/>
          <w:sz w:val="21"/>
          <w:highlight w:val="none"/>
          <w:vertAlign w:val="baseline"/>
          <w:lang w:val="en-US" w:eastAsia="zh-CN" w:bidi="ar-SA"/>
        </w:rPr>
        <w:t>有配送业务的企业具备运单信息化管理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  <w:vertAlign w:val="baseline"/>
          <w:lang w:val="en-US" w:eastAsia="zh-CN" w:bidi="ar-SA"/>
        </w:rPr>
        <w:t>”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highlight w:val="none"/>
          <w:vertAlign w:val="baseline"/>
          <w:lang w:val="en-US" w:eastAsia="zh-CN" w:bidi="ar-SA"/>
        </w:rPr>
        <w:t>项计0分；第7条考核项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vertAlign w:val="baseline"/>
          <w:lang w:val="en-US" w:eastAsia="zh-CN" w:bidi="ar-SA"/>
        </w:rPr>
        <w:t>“</w:t>
      </w:r>
      <w:r>
        <w:rPr>
          <w:rFonts w:hint="default" w:ascii="Times New Roman" w:hAnsi="Times New Roman" w:eastAsia="宋体" w:cs="Times New Roman"/>
          <w:kern w:val="2"/>
          <w:sz w:val="21"/>
          <w:highlight w:val="none"/>
          <w:vertAlign w:val="baseline"/>
          <w:lang w:val="en-US" w:eastAsia="zh-CN" w:bidi="ar-SA"/>
        </w:rPr>
        <w:t>信息对接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vertAlign w:val="baseline"/>
          <w:lang w:val="en-US" w:eastAsia="zh-CN" w:bidi="ar-SA"/>
        </w:rPr>
        <w:t>”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highlight w:val="none"/>
          <w:vertAlign w:val="baseline"/>
          <w:lang w:val="en-US" w:eastAsia="zh-CN" w:bidi="ar-SA"/>
        </w:rPr>
        <w:t>中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vertAlign w:val="baseline"/>
          <w:lang w:val="en-US" w:eastAsia="zh-CN" w:bidi="ar-SA"/>
        </w:rPr>
        <w:t>“</w:t>
      </w:r>
      <w:r>
        <w:rPr>
          <w:rFonts w:hint="default" w:ascii="Times New Roman" w:hAnsi="Times New Roman" w:eastAsia="宋体" w:cs="Times New Roman"/>
          <w:kern w:val="2"/>
          <w:sz w:val="21"/>
          <w:highlight w:val="none"/>
          <w:vertAlign w:val="baseline"/>
          <w:lang w:bidi="ar-SA"/>
        </w:rPr>
        <w:t>企业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  <w:vertAlign w:val="baseline"/>
          <w:lang w:val="en-US" w:eastAsia="zh-CN" w:bidi="ar-SA"/>
        </w:rPr>
        <w:t>新能源配送车辆</w:t>
      </w:r>
      <w:r>
        <w:rPr>
          <w:rFonts w:hint="default" w:ascii="Times New Roman" w:hAnsi="Times New Roman" w:eastAsia="宋体" w:cs="Times New Roman"/>
          <w:kern w:val="2"/>
          <w:sz w:val="21"/>
          <w:highlight w:val="none"/>
          <w:vertAlign w:val="baseline"/>
          <w:lang w:val="en-US" w:eastAsia="zh-CN" w:bidi="ar-SA"/>
        </w:rPr>
        <w:t>（含租赁车辆）</w:t>
      </w:r>
      <w:r>
        <w:rPr>
          <w:rFonts w:hint="default" w:ascii="Times New Roman" w:hAnsi="Times New Roman" w:eastAsia="宋体" w:cs="Times New Roman"/>
          <w:kern w:val="2"/>
          <w:sz w:val="21"/>
          <w:highlight w:val="none"/>
          <w:vertAlign w:val="baseline"/>
          <w:lang w:bidi="ar-SA"/>
        </w:rPr>
        <w:t>数据接入</w:t>
      </w:r>
      <w:r>
        <w:rPr>
          <w:rFonts w:hint="default" w:ascii="Times New Roman" w:hAnsi="Times New Roman" w:eastAsia="宋体" w:cs="Times New Roman"/>
          <w:kern w:val="2"/>
          <w:sz w:val="21"/>
          <w:highlight w:val="none"/>
          <w:vertAlign w:val="baseline"/>
          <w:lang w:val="en-US" w:eastAsia="zh-CN" w:bidi="ar-SA"/>
        </w:rPr>
        <w:t>淄博市</w:t>
      </w:r>
      <w:r>
        <w:rPr>
          <w:rFonts w:hint="default" w:ascii="Times New Roman" w:hAnsi="Times New Roman" w:eastAsia="宋体" w:cs="Times New Roman"/>
          <w:kern w:val="2"/>
          <w:sz w:val="21"/>
          <w:highlight w:val="none"/>
          <w:vertAlign w:val="baseline"/>
          <w:lang w:bidi="ar-SA"/>
        </w:rPr>
        <w:t>城市绿色货运配送公共信息服务平台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vertAlign w:val="baseline"/>
          <w:lang w:val="en-US" w:eastAsia="zh-CN" w:bidi="ar-SA"/>
        </w:rPr>
        <w:t>”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highlight w:val="none"/>
          <w:vertAlign w:val="baseline"/>
          <w:lang w:val="en-US" w:eastAsia="zh-CN" w:bidi="ar-SA"/>
        </w:rPr>
        <w:t>及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vertAlign w:val="baseline"/>
          <w:lang w:val="en-US" w:eastAsia="zh-CN" w:bidi="ar-SA"/>
        </w:rPr>
        <w:t>“</w:t>
      </w:r>
      <w:r>
        <w:rPr>
          <w:rFonts w:hint="default" w:ascii="Times New Roman" w:hAnsi="Times New Roman" w:eastAsia="宋体" w:cs="Times New Roman"/>
          <w:kern w:val="2"/>
          <w:sz w:val="21"/>
          <w:highlight w:val="none"/>
          <w:vertAlign w:val="baseline"/>
          <w:lang w:bidi="ar-SA"/>
        </w:rPr>
        <w:t>企业</w:t>
      </w:r>
      <w:r>
        <w:rPr>
          <w:rFonts w:hint="default" w:ascii="Times New Roman" w:hAnsi="Times New Roman" w:eastAsia="宋体" w:cs="Times New Roman"/>
          <w:kern w:val="2"/>
          <w:sz w:val="21"/>
          <w:highlight w:val="none"/>
          <w:vertAlign w:val="baseline"/>
          <w:lang w:val="en-US" w:eastAsia="zh-CN" w:bidi="ar-SA"/>
        </w:rPr>
        <w:t>运单</w:t>
      </w:r>
      <w:r>
        <w:rPr>
          <w:rFonts w:hint="default" w:ascii="Times New Roman" w:hAnsi="Times New Roman" w:eastAsia="宋体" w:cs="Times New Roman"/>
          <w:kern w:val="2"/>
          <w:sz w:val="21"/>
          <w:highlight w:val="none"/>
          <w:vertAlign w:val="baseline"/>
          <w:lang w:bidi="ar-SA"/>
        </w:rPr>
        <w:t>数据接入</w:t>
      </w:r>
      <w:r>
        <w:rPr>
          <w:rFonts w:hint="eastAsia" w:ascii="Times New Roman" w:hAnsi="Times New Roman" w:eastAsia="宋体" w:cs="Times New Roman"/>
          <w:kern w:val="2"/>
          <w:sz w:val="21"/>
          <w:highlight w:val="none"/>
          <w:vertAlign w:val="baseline"/>
          <w:lang w:val="en-US" w:eastAsia="zh-CN" w:bidi="ar-SA"/>
        </w:rPr>
        <w:t>市级平台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vertAlign w:val="baseline"/>
          <w:lang w:val="en-US" w:eastAsia="zh-CN" w:bidi="ar-SA"/>
        </w:rPr>
        <w:t>”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highlight w:val="none"/>
          <w:vertAlign w:val="baseline"/>
          <w:lang w:val="en-US" w:eastAsia="zh-CN" w:bidi="ar-SA"/>
        </w:rPr>
        <w:t>项计0分；第14条考核项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vertAlign w:val="baseline"/>
          <w:lang w:val="en-US" w:eastAsia="zh-CN" w:bidi="ar-SA"/>
        </w:rPr>
        <w:t>“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highlight w:val="none"/>
          <w:vertAlign w:val="baseline"/>
          <w:lang w:val="en-US" w:eastAsia="zh-CN" w:bidi="ar-SA"/>
        </w:rPr>
        <w:t>货损货差率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vertAlign w:val="baseline"/>
          <w:lang w:val="en-US" w:eastAsia="zh-CN" w:bidi="ar-SA"/>
        </w:rPr>
        <w:t>”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highlight w:val="none"/>
          <w:vertAlign w:val="baseline"/>
          <w:lang w:val="en-US" w:eastAsia="zh-CN" w:bidi="ar-SA"/>
        </w:rPr>
        <w:t>计0分。即，无配送业务的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vertAlign w:val="baseline"/>
          <w:lang w:val="en-US" w:eastAsia="zh-CN" w:bidi="ar-SA"/>
        </w:rPr>
        <w:t>货运枢纽试点企业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highlight w:val="none"/>
          <w:vertAlign w:val="baseline"/>
          <w:lang w:val="en-US" w:eastAsia="zh-CN" w:bidi="ar-SA"/>
        </w:rPr>
        <w:t>考核计分满分为87分，加分项满分10分，考核得分=各项考核计分之和×100/87+加分项计分之和。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1A9E6D"/>
    <w:multiLevelType w:val="singleLevel"/>
    <w:tmpl w:val="B11A9E6D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6E75D47D"/>
    <w:multiLevelType w:val="singleLevel"/>
    <w:tmpl w:val="6E75D47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22AD9"/>
    <w:rsid w:val="1832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1"/>
    <w:basedOn w:val="1"/>
    <w:next w:val="1"/>
    <w:qFormat/>
    <w:uiPriority w:val="0"/>
    <w:pPr>
      <w:snapToGrid/>
      <w:spacing w:line="240" w:lineRule="auto"/>
      <w:ind w:firstLine="420" w:firstLineChars="200"/>
    </w:pPr>
    <w:rPr>
      <w:rFonts w:ascii="Calibri" w:hAnsi="Calibr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2024-11-11T09:04:00Z</dcterms:created>
  <dc:creator>小A</dc:creator>
  <cp:lastModifiedBy>小A</cp:lastModifiedBy>
  <dcterms:modified xsi:type="dcterms:W3CDTF">2024-11-11T09:05:46Z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CBE49BC3C5AF409FB559A4B3D1C99174</vt:lpwstr>
  </property>
</Properties>
</file>