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shd w:val="clear" w:color="auto" w:fill="FFFFFF"/>
          <w:lang w:val="en-US" w:eastAsia="zh-CN"/>
        </w:rPr>
        <w:t>关于印发《淄博市城市绿色货运配送试点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shd w:val="clear" w:color="auto" w:fill="FFFFFF"/>
          <w:lang w:val="en-US" w:eastAsia="zh-CN"/>
        </w:rPr>
        <w:t>企业认定考核管理办法》的通知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  <w:t>各区县（功能区）交通运输、发展改革、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  <w:t>工业和信息化、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  <w:t>公安、财政、商务、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  <w:t>邮政管理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  <w:t>主管部门：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  <w:t>现将《淄博市城市绿色货运配送试点企业认定考核管理办法》印发给你们，请认真贯彻执行。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8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  <w:lang w:val="en-US" w:eastAsia="zh-CN"/>
        </w:rPr>
        <w:t>交通运输局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市</w:t>
      </w: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</w:rPr>
        <w:t>发展</w:t>
      </w: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</w:rPr>
        <w:t>改革</w:t>
      </w: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textAlignment w:val="auto"/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工业和信息化局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淄博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公安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市财政局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淄博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市邮政管理局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淄博市物流产业发展中心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淄博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市城市绿色货运配送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试点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认定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考核管理办法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为推动城市绿色货运配送高效发展，促进物流行业降本增效，切实培育一批运作高效、服务规范的城市绿色货运配送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企业〔干支衔接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货运枢纽试点企业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以下简称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货运枢纽试点企业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公共配送中心试点企业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城市配送试点企业〕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，按照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城市绿色货运配送示范工程绩效考核评分细则》要求，结合我市实际，特制定本办法。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淄博市城市绿色货运配送示范工程建设领导小组办公室（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以下简称市绿配办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负责组织开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展城市绿色货运配送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以下简称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试点企业）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的认定和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第二章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第三条 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货运枢纽试点企业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应具备的基本条件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货运枢纽已在淄博市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投入运营，实现干线规模化运输与支线集散分拨一体化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操作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占地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规模120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以上。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（三）货运枢纽自有或长期以购买服务形式使用企业管理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信息系统。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三年内无严重违法失信行为。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（五）三年内无重大及以上责任事故。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的安全生产管理制度。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第四条 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公共配送中心试点企业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应具备的基本条件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公共配送中心已在淄博市投入运营，基本实现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vertAlign w:val="baseline"/>
          <w:lang w:val="en-US" w:eastAsia="zh-CN" w:bidi="ar-SA"/>
        </w:rPr>
        <w:t>统一存储、集中分拣、共同配送功能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占地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规模30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以上。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配送中心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自有或长期以购买服务形式使用企业管理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信息系统。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三年内无严重违法失信行为。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（五）三年内无重大及以上责任事故。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的安全生产管理制度。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第五条 申报城市配送试点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企业应具备的基本条件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（一）符合下述情形之一：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自有和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长期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租赁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城市物流配送车辆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一年以上租赁或合作合同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自有和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长期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租赁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冷藏保温配送车辆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一年以上租赁或合作合同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上述车辆号牌如果重复出现的，只计算为实际使用者的车辆数量。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（二）从事城市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物流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配送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的车辆主要服务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从事城市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物流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配送的车辆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符合《城市物流配送汽车选型技术要求》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GB/T 29912-2013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，满足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、省、市关于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城市物流配送车辆（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冷藏保温配送车辆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技术、安全和环保方面的相关要求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冷藏保温配送车辆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总质量4.5吨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城市物流配送车辆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取得道路运输证。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具备对所属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城市物流配送车辆（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冷藏保温配送车辆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信息化动态监控能力。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三年内无严重违法失信行为。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三年内无重大及以上责任事故。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的安全生产管理制度。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认定程序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符合本办法第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、第四条、第五条之一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准备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相关证明材料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报送至区县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城市绿色货运配送示范工程建设领导小组办公室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（以下简称区县绿配办）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区县绿配办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收到企业申请材料后，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结合淄博市城市绿色货运配送公共信息服务平台（以下简称市级平台）数据，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采取材料审核、实地调查等多种形式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进行初审。审核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合格的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组织集中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复审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复审通过的企业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被认定为城市绿色货运配送试点企业进行公示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，公示期为7个工作日，公示期内如有异议，可在公示期内将书面意见反馈至市绿配办。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第三章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城市绿色货运配送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依照本办法实行年度考核。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货运枢纽试点企业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公共配送中心试点企业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1.设施设备：仓储面积、充电桩设置、停车位设置、基础设备。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2.先进组织模式：组织功能。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3.信息化建设：企业信息化水平、信息对接。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4.运营管理：管理制度、便利停靠措施、企业评估。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5.服务质量：服务管理制度、合规经营、投诉处理、货损货差率、场站环境。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6.安全生产：安全教育培训、应急预案、安全责任事故。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7.其他加分项：表彰及荣誉称号、媒体报道情况、指令性运输、党建引领。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（二）城市配送试点企业考核内容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1.车辆：城市物流配送车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及冷藏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配送车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数量、车辆标志标识。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2.先进组织模式：组织功能。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3.信息化建设：企业信息化水平、信息对接。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4.运营管理：管理制度、平均单车实载率、平均单车行驶里程、企业评估。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5.服务质量：服务管理制度、经营违法率、投诉处理、货损货差率。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6.安全生产：安全教育培训、应急预案、交通责任事故率。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7.其他加分项：表彰及荣誉称号、媒体报道情况、指令性运输、党建引领。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具体考核内容和评价标准详见附件1、附件2。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第九条 考核程序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考核年度结束后一周内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，将年度考核报告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及各项考核指标对应的证明材料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区县绿配办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区县绿配办结合市级平台数据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上报的材料进行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初审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集中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复审并进行考核打分，考核满分100分，另有加分项10分，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考核得分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≥80分为合格，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考核得分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＜80分为不合格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考核结果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进行公示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第十条 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企业有下列情形之一的，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考核等级判为不合格并取消其试点资格。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（一）企业申请取消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（二）企业被依法终止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企业在参与试点期间有重大安全事故；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（四）企业存在严重违法失信行为；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）在认定或考核过程中，隐瞒真实情况、提供虚假材料或采取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不正当手段获取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被取消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，应主动去除车身统一标识，不得再次申报。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发生更名、重组等重大调整的，应在办理相关手续后1个月内将有关证明材料报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区县绿配办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区县绿配办在市级平台进行信息变更后，提交至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进行审核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第四章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城市绿色货运配送示范工程部级验收结束以后，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考核合格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货运枢纽试点企业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公共配送中心试点企业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可依据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《淄博市城市绿色货运配送示范工程建设奖补办法》申请奖补资金。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第十三条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考核合格的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依据《淄博市城市绿色货运配送示范工程建设奖补办法》申请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新能源配送车辆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包括新能源城市物流配送车辆及新能源冷藏保温配送车辆，下同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运营奖补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授予考核合格的试点企业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淄博市城市绿色货运配送试点企业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的新能源配送车辆享受优先通行路权和停靠政策，领取淄博市城市绿色货运配送专用标识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第五章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十六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施行，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有效期至2025年12月31日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市绿配办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负责解释。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50" w:leftChars="304" w:right="0" w:rightChars="0" w:hanging="1212" w:hangingChars="379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淄博市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货运枢纽试点企业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公共配送中心试点企业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考核指标明细表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2.淄博市城市配送试点企业考核指标明细表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359410</wp:posOffset>
                </wp:positionV>
                <wp:extent cx="5645150" cy="25400"/>
                <wp:effectExtent l="0" t="4445" r="635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8705" y="3676650"/>
                          <a:ext cx="56451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7pt;margin-top:28.3pt;height:2pt;width:444.5pt;z-index:251661312;mso-width-relative:page;mso-height-relative:page;" filled="f" stroked="t" coordsize="21600,21600" o:gfxdata="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C5P5LXAAAACAEAAA8AAAAAAAAAAQAgAAAAIgAAAGRycy9kb3ducmV2Lnht&#10;bFBLAQIUABQAAAAIAIdO4kA2P7mo+gEAAMsDAAAOAAAAAAAAAAEAIAAAACYBAABkcnMvZTJvRG9j&#10;LnhtbFBLBQYAAAAABgAGAFkBAACS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信息公开属性：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840" w:hanging="840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1537335</wp:posOffset>
                </wp:positionV>
                <wp:extent cx="5619750" cy="21590"/>
                <wp:effectExtent l="0" t="4445" r="6350" b="120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4489450"/>
                          <a:ext cx="5619750" cy="21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pt;margin-top:121.05pt;height:1.7pt;width:442.5pt;z-index:251660288;mso-width-relative:page;mso-height-relative:page;" filled="f" stroked="t" coordsize="21600,21600" o:gfxdata="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RJoPbXAAAACQEAAA8AAAAAAAAAAQAgAAAAIgAAAGRycy9kb3ducmV2Lnht&#10;bFBLAQIUABQAAAAIAIdO4kDMCUcQ+gEAAMsDAAAOAAAAAAAAAAEAIAAAACYBAABkcnMvZTJvRG9j&#10;LnhtbFBLBQYAAAAABgAGAFkBAACS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各区县人民政府，高新区、经济开发区、文昌湖区管委会，市自然资源和规划局、市生态环境局、市住房城乡建设局、市市场监管局、市大数据局、市城市管理局、市投资促进局、市供销社、国铁济南局淄博车务段、国网淄博供电公司。</w:t>
      </w:r>
    </w:p>
    <w:p>
      <w:pPr>
        <w:ind w:right="5" w:right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361950</wp:posOffset>
                </wp:positionV>
                <wp:extent cx="5638800" cy="17780"/>
                <wp:effectExtent l="0" t="4445" r="0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8855" y="4470400"/>
                          <a:ext cx="5638800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pt;margin-top:28.5pt;height:1.4pt;width:444pt;z-index:251662336;mso-width-relative:page;mso-height-relative:page;" filled="f" stroked="t" coordsize="21600,21600" o:gfxdata="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xxU1LXAAAACAEAAA8AAAAAAAAAAQAgAAAAIgAAAGRycy9kb3ducmV2&#10;LnhtbFBLAQIUABQAAAAIAIdO4kBUY7n7/QEAAMoDAAAOAAAAAAAAAAEAIAAAACYBAABkcnMvZTJv&#10;RG9jLnhtbFBLBQYAAAAABgAGAFkBAACV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淄博市交通运输局办公室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2024年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67952"/>
    <w:multiLevelType w:val="singleLevel"/>
    <w:tmpl w:val="C2167952"/>
    <w:lvl w:ilvl="0" w:tentative="0">
      <w:start w:val="1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2683C"/>
    <w:rsid w:val="00384CE9"/>
    <w:rsid w:val="01C9577A"/>
    <w:rsid w:val="02244361"/>
    <w:rsid w:val="05821D18"/>
    <w:rsid w:val="05D35A2A"/>
    <w:rsid w:val="06556BAA"/>
    <w:rsid w:val="096A7170"/>
    <w:rsid w:val="0CC56B02"/>
    <w:rsid w:val="0DCC6DA1"/>
    <w:rsid w:val="0DE87C01"/>
    <w:rsid w:val="0DEE3E04"/>
    <w:rsid w:val="0ED46862"/>
    <w:rsid w:val="129301B5"/>
    <w:rsid w:val="12E6250F"/>
    <w:rsid w:val="174C0397"/>
    <w:rsid w:val="17A0509E"/>
    <w:rsid w:val="18B07A8C"/>
    <w:rsid w:val="196347F5"/>
    <w:rsid w:val="1BA70DEF"/>
    <w:rsid w:val="1E526BB6"/>
    <w:rsid w:val="1F5E4382"/>
    <w:rsid w:val="20C67700"/>
    <w:rsid w:val="20FD3E2F"/>
    <w:rsid w:val="23EA7CFA"/>
    <w:rsid w:val="27747D2C"/>
    <w:rsid w:val="2978411E"/>
    <w:rsid w:val="2B065D61"/>
    <w:rsid w:val="2B094D4B"/>
    <w:rsid w:val="2D9829DE"/>
    <w:rsid w:val="2D9F121E"/>
    <w:rsid w:val="2DAF4B82"/>
    <w:rsid w:val="2DE25FC3"/>
    <w:rsid w:val="2E456286"/>
    <w:rsid w:val="2F2A5963"/>
    <w:rsid w:val="2FB616D4"/>
    <w:rsid w:val="30CD4305"/>
    <w:rsid w:val="32CD799D"/>
    <w:rsid w:val="345A4AE9"/>
    <w:rsid w:val="351D0231"/>
    <w:rsid w:val="35BC1B2C"/>
    <w:rsid w:val="35C101EA"/>
    <w:rsid w:val="36545D30"/>
    <w:rsid w:val="380F3E59"/>
    <w:rsid w:val="3A2D057F"/>
    <w:rsid w:val="3C504D81"/>
    <w:rsid w:val="3EF604D7"/>
    <w:rsid w:val="42D633EC"/>
    <w:rsid w:val="430E1911"/>
    <w:rsid w:val="43AE7078"/>
    <w:rsid w:val="43D21ACF"/>
    <w:rsid w:val="444F35A2"/>
    <w:rsid w:val="46053B6D"/>
    <w:rsid w:val="4A521F7E"/>
    <w:rsid w:val="4C870899"/>
    <w:rsid w:val="4D267B6F"/>
    <w:rsid w:val="4EC82C73"/>
    <w:rsid w:val="50E87B49"/>
    <w:rsid w:val="51A2683C"/>
    <w:rsid w:val="548A3929"/>
    <w:rsid w:val="54F860F5"/>
    <w:rsid w:val="5A8C449C"/>
    <w:rsid w:val="5B006753"/>
    <w:rsid w:val="5CD8136D"/>
    <w:rsid w:val="5D5104A8"/>
    <w:rsid w:val="5D8F68A6"/>
    <w:rsid w:val="60BD5252"/>
    <w:rsid w:val="62D27BAF"/>
    <w:rsid w:val="639E12C8"/>
    <w:rsid w:val="65000502"/>
    <w:rsid w:val="675A129D"/>
    <w:rsid w:val="685F1AB9"/>
    <w:rsid w:val="69341E28"/>
    <w:rsid w:val="69E676CD"/>
    <w:rsid w:val="6A4B5867"/>
    <w:rsid w:val="6A833EAB"/>
    <w:rsid w:val="6F060AFB"/>
    <w:rsid w:val="6F8A1F36"/>
    <w:rsid w:val="6FE94403"/>
    <w:rsid w:val="717666F8"/>
    <w:rsid w:val="72E13808"/>
    <w:rsid w:val="77B10B6D"/>
    <w:rsid w:val="78761BB0"/>
    <w:rsid w:val="79D97279"/>
    <w:rsid w:val="7C0A4F8F"/>
    <w:rsid w:val="7C312E62"/>
    <w:rsid w:val="7C922D1D"/>
    <w:rsid w:val="7D284642"/>
    <w:rsid w:val="7EE5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snapToGrid/>
      <w:spacing w:line="240" w:lineRule="auto"/>
      <w:ind w:firstLine="420" w:firstLineChars="200"/>
    </w:pPr>
    <w:rPr>
      <w:rFonts w:ascii="Calibri" w:hAnsi="Calibri"/>
      <w:sz w:val="21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2024-07-29T04:03:00Z</dcterms:created>
  <dc:creator>小A</dc:creator>
  <cp:lastModifiedBy>小A</cp:lastModifiedBy>
  <cp:lastPrinted>2024-09-21T10:59:00Z</cp:lastPrinted>
  <dcterms:modified xsi:type="dcterms:W3CDTF">2024-11-11T09:07:12Z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BE8A9AF36F5F4CAE8E4F048AD8DECCAE</vt:lpwstr>
  </property>
</Properties>
</file>